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87F19">
      <w:pPr>
        <w:tabs>
          <w:tab w:val="left" w:pos="720"/>
        </w:tabs>
        <w:spacing w:after="0" w:line="288" w:lineRule="auto"/>
        <w:jc w:val="both"/>
        <w:rPr>
          <w:rFonts w:ascii="Times New Roman" w:hAnsi="Times New Roman" w:cs="Times New Roman"/>
          <w:sz w:val="26"/>
          <w:szCs w:val="26"/>
          <w:shd w:val="clear" w:color="auto" w:fill="FFFFFF"/>
          <w:lang w:val="fr-FR"/>
        </w:rPr>
      </w:pPr>
      <w:r>
        <w:rPr>
          <w:rFonts w:ascii="Times New Roman" w:hAnsi="Times New Roman" w:cs="Times New Roman"/>
          <w:b/>
          <w:sz w:val="26"/>
          <w:szCs w:val="26"/>
          <w:lang w:val="fr-FR"/>
        </w:rPr>
        <w:t xml:space="preserve">10. </w:t>
      </w:r>
      <w:r>
        <w:rPr>
          <w:rFonts w:ascii="Times New Roman" w:hAnsi="Times New Roman" w:cs="Times New Roman"/>
          <w:b/>
          <w:sz w:val="26"/>
          <w:szCs w:val="26"/>
          <w:lang w:val="vi-VN"/>
        </w:rPr>
        <w:t>HỘI HOẠ</w:t>
      </w:r>
      <w:r>
        <w:rPr>
          <w:rFonts w:ascii="Times New Roman" w:hAnsi="Times New Roman" w:cs="Times New Roman"/>
          <w:b/>
          <w:sz w:val="26"/>
          <w:szCs w:val="26"/>
          <w:lang w:val="fr-FR"/>
        </w:rPr>
        <w:t xml:space="preserve">, </w:t>
      </w:r>
      <w:r>
        <w:rPr>
          <w:rFonts w:ascii="Times New Roman" w:hAnsi="Times New Roman" w:eastAsia="Times New Roman" w:cs="Times New Roman"/>
          <w:sz w:val="26"/>
          <w:szCs w:val="26"/>
          <w:lang w:val="fr-FR"/>
        </w:rPr>
        <w:t xml:space="preserve">nghệ thuật dùng đường nét, màu sắc để phản ánh thế giới hình thể lên trên mặt phẳng. </w:t>
      </w:r>
      <w:r>
        <w:rPr>
          <w:rFonts w:ascii="Times New Roman" w:hAnsi="Times New Roman" w:cs="Times New Roman"/>
          <w:sz w:val="26"/>
          <w:szCs w:val="26"/>
          <w:lang w:val="fr-FR"/>
        </w:rPr>
        <w:t>L</w:t>
      </w:r>
      <w:r>
        <w:rPr>
          <w:rFonts w:ascii="Times New Roman" w:hAnsi="Times New Roman" w:cs="Times New Roman"/>
          <w:sz w:val="26"/>
          <w:szCs w:val="26"/>
          <w:shd w:val="clear" w:color="auto" w:fill="FFFFFF"/>
          <w:lang w:val="vi-VN"/>
        </w:rPr>
        <w:t>oại hình thuộc nghệ thuật tạo hình</w:t>
      </w:r>
      <w:r>
        <w:rPr>
          <w:rFonts w:ascii="Times New Roman" w:hAnsi="Times New Roman" w:cs="Times New Roman"/>
          <w:sz w:val="26"/>
          <w:szCs w:val="26"/>
          <w:shd w:val="clear" w:color="auto" w:fill="FFFFFF"/>
          <w:lang w:val="fr-FR"/>
        </w:rPr>
        <w:t>, c</w:t>
      </w:r>
      <w:r>
        <w:rPr>
          <w:rFonts w:ascii="Times New Roman" w:hAnsi="Times New Roman" w:cs="Times New Roman"/>
          <w:sz w:val="26"/>
          <w:szCs w:val="26"/>
          <w:shd w:val="clear" w:color="auto" w:fill="FFFFFF"/>
          <w:lang w:val="vi-VN"/>
        </w:rPr>
        <w:t xml:space="preserve">ó thể nhìn nhận ở 2 khía cạnh: kỹ thuật và nghệ thuật. </w:t>
      </w:r>
    </w:p>
    <w:p w14:paraId="57D0B3E7">
      <w:pPr>
        <w:tabs>
          <w:tab w:val="left" w:pos="720"/>
        </w:tabs>
        <w:spacing w:after="0" w:line="288" w:lineRule="auto"/>
        <w:jc w:val="both"/>
        <w:rPr>
          <w:rFonts w:ascii="Times New Roman" w:hAnsi="Times New Roman" w:eastAsia="Times New Roman" w:cs="Times New Roman"/>
          <w:sz w:val="26"/>
          <w:szCs w:val="26"/>
          <w:lang w:val="vi-VN"/>
        </w:rPr>
      </w:pPr>
      <w:r>
        <w:rPr>
          <w:rFonts w:ascii="Times New Roman" w:hAnsi="Times New Roman" w:cs="Times New Roman"/>
          <w:sz w:val="26"/>
          <w:szCs w:val="26"/>
          <w:shd w:val="clear" w:color="auto" w:fill="FFFFFF"/>
          <w:lang w:val="fr-FR"/>
        </w:rPr>
        <w:tab/>
      </w:r>
      <w:r>
        <w:rPr>
          <w:rFonts w:ascii="Times New Roman" w:hAnsi="Times New Roman" w:cs="Times New Roman"/>
          <w:sz w:val="26"/>
          <w:szCs w:val="26"/>
          <w:shd w:val="clear" w:color="auto" w:fill="FFFFFF"/>
          <w:lang w:val="vi-VN"/>
        </w:rPr>
        <w:t xml:space="preserve">Về kỹ thuật, HH </w:t>
      </w:r>
      <w:r>
        <w:rPr>
          <w:rFonts w:ascii="Times New Roman" w:hAnsi="Times New Roman" w:cs="Times New Roman"/>
          <w:sz w:val="26"/>
          <w:szCs w:val="26"/>
          <w:shd w:val="clear" w:color="auto" w:fill="FFFFFF"/>
          <w:lang w:val="fr-FR"/>
        </w:rPr>
        <w:t xml:space="preserve">được </w:t>
      </w:r>
      <w:r>
        <w:rPr>
          <w:rFonts w:ascii="Times New Roman" w:hAnsi="Times New Roman" w:cs="Times New Roman"/>
          <w:sz w:val="26"/>
          <w:szCs w:val="26"/>
          <w:shd w:val="clear" w:color="auto" w:fill="FFFFFF"/>
          <w:lang w:val="vi-VN"/>
        </w:rPr>
        <w:t>nhìn nhận như một hoạt động thực hành, các thao tác kỹ thuật trong sáng tác vẽ tranh nhằm che phủ một bề mặt bằng màu sắc và sắp xếp chúng theo một trật tự nhất định. Bề mặt đó có thể là giấy hoặc vải, giấy, canvas, được căng trên khung, hoặc trên một mặt phẳng hai chiều không gian như: gỗ, thủy tinh, sơn mài hoặc bê tông… Công cụ để vẽ có thể là các loại bút vẽ, bút lông, hoặc có thể là bất kỳ đồ vật gì có khả năng thêm màu lên bề mặt đó như: miếng bọt biển, dải vải, bay vẽ…, và cũng có thể sử dụng phần mềm công nghệ để vẽ; Về góc độ nghệ thuật, HH cũng bao gồm việc sử dụng hành vi nghệ thuật này cộng với cách vẽ, bố cục và các phương pháp thẩm mỹ khác để đạt được ý tưởng và thông điệp mà người vẽ mong muốn thể hiện.</w:t>
      </w:r>
    </w:p>
    <w:p w14:paraId="7C928C3E">
      <w:pPr>
        <w:tabs>
          <w:tab w:val="left" w:pos="720"/>
        </w:tabs>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shd w:val="clear" w:color="auto" w:fill="FFFFFF"/>
          <w:lang w:val="vi-VN"/>
        </w:rPr>
        <w:t>HH là sự biểu đạt hiện thực cuộc sống vào các tác phẩm tranh vẽ, bằng một số chất liệu khác nhau, cho phép trưng bày trong một không gian nhất định như: không gian nội, ngoại thất các công trình xây dựng (gia đình, công sở, khách sạn…), không gian trưng bày chuyên nghiệp (nhà triển lãm, bảo tàng nghệ thuật, galerry), không gian công cộng… Có nhiều thể loại HH khác nhau, tùy theo các công cụ, chất liệu, kỹ thuật và nền tảng văn hóa, tuỳ theo đối tượng và nội dung chủ đề…, ví dụ các dạng hội hoạ: HH</w:t>
      </w:r>
      <w:r>
        <w:rPr>
          <w:rFonts w:ascii="Times New Roman" w:hAnsi="Times New Roman" w:cs="Times New Roman"/>
          <w:iCs/>
          <w:sz w:val="26"/>
          <w:szCs w:val="26"/>
          <w:shd w:val="clear" w:color="auto" w:fill="FFFFFF"/>
          <w:lang w:val="vi-VN"/>
        </w:rPr>
        <w:t xml:space="preserve"> giá vẽ</w:t>
      </w:r>
      <w:r>
        <w:rPr>
          <w:rFonts w:ascii="Times New Roman" w:hAnsi="Times New Roman" w:cs="Times New Roman"/>
          <w:sz w:val="26"/>
          <w:szCs w:val="26"/>
          <w:shd w:val="clear" w:color="auto" w:fill="FFFFFF"/>
          <w:lang w:val="vi-VN"/>
        </w:rPr>
        <w:t xml:space="preserve"> (hình thành và phát triển từ thế kỷ 15 ở châu Âu), có thể gọi là HH tĩnh, trong đó bao gồm các loại tranh đề tài, tĩnh vật, chân dung, phong cảnh. HH</w:t>
      </w:r>
      <w:r>
        <w:rPr>
          <w:rFonts w:ascii="Times New Roman" w:hAnsi="Times New Roman" w:cs="Times New Roman"/>
          <w:iCs/>
          <w:sz w:val="26"/>
          <w:szCs w:val="26"/>
          <w:shd w:val="clear" w:color="auto" w:fill="FFFFFF"/>
          <w:lang w:val="vi-VN"/>
        </w:rPr>
        <w:t>hoành tráng</w:t>
      </w:r>
      <w:r>
        <w:rPr>
          <w:rFonts w:ascii="Times New Roman" w:hAnsi="Times New Roman" w:cs="Times New Roman"/>
          <w:sz w:val="26"/>
          <w:szCs w:val="26"/>
          <w:shd w:val="clear" w:color="auto" w:fill="FFFFFF"/>
          <w:lang w:val="vi-VN"/>
        </w:rPr>
        <w:t xml:space="preserve"> (còn gọi là tranh tường, bích họa- Fresco painting); </w:t>
      </w:r>
      <w:r>
        <w:rPr>
          <w:rFonts w:ascii="Times New Roman" w:hAnsi="Times New Roman" w:cs="Times New Roman"/>
          <w:iCs/>
          <w:sz w:val="26"/>
          <w:szCs w:val="26"/>
          <w:shd w:val="clear" w:color="auto" w:fill="FFFFFF"/>
          <w:lang w:val="vi-VN"/>
        </w:rPr>
        <w:t>Hội hoạ kỹ thuật số</w:t>
      </w:r>
      <w:r>
        <w:rPr>
          <w:rFonts w:ascii="Times New Roman" w:hAnsi="Times New Roman" w:cs="Times New Roman"/>
          <w:sz w:val="26"/>
          <w:szCs w:val="26"/>
          <w:shd w:val="clear" w:color="auto" w:fill="FFFFFF"/>
          <w:lang w:val="vi-VN"/>
        </w:rPr>
        <w:t xml:space="preserve"> (tranh vẽ được thực hiện bằng con chuột, máy tính bảng, màn hình máy tính và bút vẽ kỹ thuật số thông qua phần mềm máy tính) giúp bảo toàn hình ảnh kỹ thuật số không cần giấy tờ và tránh lãng phí tài nguyên. Ở một góc nhìn tích cực, hội hoạ kỹ thuật số giúp cho việc xem, sao lưu tác phẩm thuận tiện hơn…</w:t>
      </w:r>
    </w:p>
    <w:p w14:paraId="1D1B12DF">
      <w:pPr>
        <w:tabs>
          <w:tab w:val="left" w:pos="720"/>
        </w:tabs>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shd w:val="clear" w:color="auto" w:fill="FFFFFF"/>
          <w:lang w:val="vi-VN"/>
        </w:rPr>
        <w:t xml:space="preserve">Tranh được chia thành các loại tranh chính như tranh Trung Quốc, sơn dầu, tranh màu nước, bột màu tùy theo các công cụ, chất liệu, kỹ thuật và nền tảng văn hóa khác nhau. Các loại tranh trên được chia thành tranh chân dung, tranh phong cảnh, tranh tĩnh vật,… theo từng đối tượng khác nhau. Tranh cổ động được chia thành tranh chân dung, tranh lịch sử, tranh tôn giáo, tranh thể loại, tranh quân sự, tranh thân thể… theo nội dung của chủ đề. HH là một loại hình nghệ thuật sử dụng các công cụ và vật liệu như bút, cọ, dao, mực và sơn để tạo ra hình ảnh trên giấy, hàng dệt, bảng, tường và các mặt phẳng khác (không gian hai chiều). </w:t>
      </w:r>
    </w:p>
    <w:p w14:paraId="32AFC1AA">
      <w:pPr>
        <w:tabs>
          <w:tab w:val="left" w:pos="720"/>
        </w:tabs>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Đó là loại hình HH hình thành từ thế kỷ XV ở Châu Âu sau khi thoát li quan hệ phụ thuộc với kiến trúc, bắt đầu bằng sự thể nghiệm những bố cục hoàn chỉnh trên bề mặt chữ nhật, hình vuông… và lấy 4 thành khung làm ranh giới không gian trong tranh với thế giới bên ngoài. Tranh giá vẽ thường là cỡ nhỏ hoặc trung bình, có thể vận chuyển, treo gỡ hay xê dịch tùy theo yêu cầu, tạo thuận tiện cho công việc trưng bày.Các loại HH: HH hành động (action painting); HH hoành tráng, loại hình HH đồ sộ thể hiện những đề tài chính luận mang tính sử thi, trường ca… thường phái dựa vào kiến trúc và nó bị chi phối về kích cỡ, nhưng vẫn giữ được tính độc lập trong phong cách diễn đạt. Tiêu biểu là các bích họa cổ, tranh ghép ghép gốm, tranh ghép kính, tranh nền… ở nhiều nhà thờ Thiên Chúa giáo thời Trung cổ và Phục Hưng, tranh Phật giáo ở các hang động, đền đài, chùa chiền Ấn Độ, Trung Hoa. Thời nay, tranh hoành tráng được nói đến nhiều hơn cả là tranh tường Mêhicô, mảng HH có tính chiến đấu cao.</w:t>
      </w:r>
    </w:p>
    <w:p w14:paraId="1BA569A2">
      <w:pPr>
        <w:tabs>
          <w:tab w:val="left" w:pos="720"/>
        </w:tabs>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HH Siêu hình xuất hiện lần đầu tiên năm 1911 (1. pictural metafisica); do họa sỹ G.de Chirico dùng để tự gọi hội họa của mình. Nó không phải là một kĩ thuật, một phong cách, mà là một thái độ nội tâm. Theo De Chirico “người nghệ sỹ phải nói lên được, đằng sau cái bề ngoài nhìn thấy là cái khía cạnh kỳ dị của sự vật, bằng cách thức tỉnh ở chúng những ý nghĩa giáu mặt bên trong”. HH siêu hình thường gợi những tình cảm muôn thuở u buồn, linh cảm, kí ức, thác loạn và cái tối nghĩa qua những công trình kiến trúc và đồ vật tầm thường (nhà ga, vỏ trai, túi da…). Ta thường gặp một thứ ánh sáng bí ẩn và những bóng đổ trên tranh họ. </w:t>
      </w:r>
    </w:p>
    <w:p w14:paraId="33D21B48">
      <w:pPr>
        <w:tabs>
          <w:tab w:val="left" w:pos="720"/>
        </w:tabs>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HH sinh hoạt, một thể loại hội họa chuyên vẽ các cảnh bắt gặp trong đó các nhân vật thường vô danh. Tranh </w:t>
      </w:r>
      <w:r>
        <w:rPr>
          <w:rFonts w:ascii="Times New Roman" w:hAnsi="Times New Roman" w:cs="Times New Roman"/>
          <w:i/>
          <w:sz w:val="26"/>
          <w:szCs w:val="26"/>
          <w:lang w:val="vi-VN"/>
        </w:rPr>
        <w:t>Những người ăn khoai tây</w:t>
      </w:r>
      <w:r>
        <w:rPr>
          <w:rFonts w:ascii="Times New Roman" w:hAnsi="Times New Roman" w:cs="Times New Roman"/>
          <w:sz w:val="26"/>
          <w:szCs w:val="26"/>
          <w:lang w:val="vi-VN"/>
        </w:rPr>
        <w:t xml:space="preserve"> của Van Gogh, tranh </w:t>
      </w:r>
      <w:r>
        <w:rPr>
          <w:rFonts w:ascii="Times New Roman" w:hAnsi="Times New Roman" w:cs="Times New Roman"/>
          <w:i/>
          <w:sz w:val="26"/>
          <w:szCs w:val="26"/>
          <w:lang w:val="vi-VN"/>
        </w:rPr>
        <w:t>Chơi ô ăn quan</w:t>
      </w:r>
      <w:r>
        <w:rPr>
          <w:rFonts w:ascii="Times New Roman" w:hAnsi="Times New Roman" w:cs="Times New Roman"/>
          <w:sz w:val="26"/>
          <w:szCs w:val="26"/>
          <w:lang w:val="vi-VN"/>
        </w:rPr>
        <w:t xml:space="preserve"> của Nguyễn Phan Chánh là những tác phẩm HH có ý nghĩa xã hội sâu sắc. HH sinh hoạt không theo một thể thức riêng nào mà gắn liền với các trào lưu lớn trong lịch sử mỹ thuật. Tính độc đáo của nó ở một thời đại, một đất nước, nảy sinh từ chỗ trùng hợp giữa sự phát triển của nghệ thuật với sự phát triển của xã hội. Tinh thần, lòng tin của mỗi thời đại cùng văn hóa, phong tục tập quán của mỗi nước, mỗi dân tộc đã quyết định thái độ của các nghệ sỹ, kích thích hứng thú của nghệ sỹ cũng như của người thưởng thức đối với mỗi kiểu đề tài.</w:t>
      </w:r>
    </w:p>
    <w:p w14:paraId="1E6D722C">
      <w:pPr>
        <w:tabs>
          <w:tab w:val="left" w:pos="720"/>
        </w:tabs>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Con người từ thời cổ xưa đã biết ghi lại những hình ảnh lao động, săn bắn, vui chơi của mình lên những vách đá. Đồng thời với sự phát triển của xã hội loài người nghệ thuật hội họa cũng phát triển dần lên. Ban đầu tranh vẽ được dùng để thì hiện các đứng thần linh, các ý tưởng tôn giáo, thần thoại và các hiện tượng trong thiên nhiên. Thời cổ đại ở Ai Cập, Hy Lạp và nhiều nước khác hoa văn trong các đền đài, lăng mộ, trên đồ gốm, đồ đồng, Đồ đá vân vân đã ghi lại nhiều hình ảnh sinh động nhờ bàn tay tài hoa của người xưa. Đến thời kỳ Phục Hưng ở Italia, HH đã đạt tới đỉnh cao của nghệ thuật nhân loại với các tác phẩm tuyệt mỹ như của các thiên tài như Leonardo de Vinci, Raphaelo, Tisian, Giorgione…tiếp theo đó, HH liên tục phát triển với các khuynh hướng Hiện thực, Lãng mạn, Ấn tượng, Lập thể, Dã thú, Siêu thực v... </w:t>
      </w:r>
    </w:p>
    <w:p w14:paraId="67C1D3BB">
      <w:pPr>
        <w:tabs>
          <w:tab w:val="left" w:pos="720"/>
        </w:tabs>
        <w:spacing w:after="0" w:line="288" w:lineRule="auto"/>
        <w:ind w:firstLine="720"/>
        <w:jc w:val="both"/>
        <w:rPr>
          <w:rFonts w:ascii="Times New Roman" w:hAnsi="Times New Roman" w:cs="Times New Roman"/>
          <w:iCs/>
          <w:sz w:val="26"/>
          <w:szCs w:val="26"/>
          <w:lang w:val="vi-VN"/>
        </w:rPr>
      </w:pPr>
      <w:r>
        <w:rPr>
          <w:rFonts w:ascii="Times New Roman" w:hAnsi="Times New Roman" w:cs="Times New Roman"/>
          <w:sz w:val="26"/>
          <w:szCs w:val="26"/>
          <w:lang w:val="vi-VN"/>
        </w:rPr>
        <w:t>Ngày nay cùng với sự phát triển của khoa học kĩ thuật, HH cũng phát triển nhanh chóng, đa dạng và phong phú. Những khuynh hướng, hình thức HH mới với khả năng biểu cảm sáng tạo mới có cơ hội phát triển tự do bởi các thế hệ họa sĩ trẻ sống ở thời đại mới, táo bạo, nhiệt tình, say mê tìm tòi sáng tạo. Điều này thể hiện rất rõ trong HH Việt Nam khoảng thập kỷ 90 của thế kỷ XX đến nay.</w:t>
      </w:r>
    </w:p>
    <w:p w14:paraId="11E48D4B">
      <w:pPr>
        <w:tabs>
          <w:tab w:val="left" w:pos="720"/>
        </w:tabs>
        <w:spacing w:after="0" w:line="288" w:lineRule="auto"/>
        <w:ind w:firstLine="720"/>
        <w:jc w:val="right"/>
        <w:rPr>
          <w:rFonts w:ascii="Times New Roman" w:hAnsi="Times New Roman" w:cs="Times New Roman"/>
          <w:b/>
          <w:sz w:val="26"/>
          <w:szCs w:val="26"/>
          <w:lang w:val="vi-VN"/>
        </w:rPr>
      </w:pPr>
      <w:r>
        <w:rPr>
          <w:rFonts w:ascii="Times New Roman" w:hAnsi="Times New Roman" w:cs="Times New Roman"/>
          <w:b/>
          <w:sz w:val="26"/>
          <w:szCs w:val="26"/>
          <w:lang w:val="vi-VN"/>
        </w:rPr>
        <w:t>ĐOÀN MỸ HƯƠNG</w:t>
      </w:r>
    </w:p>
    <w:p w14:paraId="080D405B">
      <w:pPr>
        <w:tabs>
          <w:tab w:val="left" w:pos="720"/>
        </w:tabs>
        <w:spacing w:after="0" w:line="288" w:lineRule="auto"/>
        <w:ind w:firstLine="720"/>
        <w:jc w:val="both"/>
        <w:rPr>
          <w:rFonts w:ascii="Times New Roman" w:hAnsi="Times New Roman" w:cs="Times New Roman"/>
          <w:b/>
          <w:sz w:val="24"/>
          <w:szCs w:val="24"/>
        </w:rPr>
      </w:pPr>
      <w:r>
        <w:rPr>
          <w:rFonts w:ascii="Times New Roman" w:hAnsi="Times New Roman" w:cs="Times New Roman"/>
          <w:b/>
          <w:sz w:val="24"/>
          <w:szCs w:val="24"/>
          <w:lang w:val="vi-VN"/>
        </w:rPr>
        <w:t>Tài liệu tham khảo :</w:t>
      </w:r>
    </w:p>
    <w:p w14:paraId="7F6A88D2">
      <w:pPr>
        <w:tabs>
          <w:tab w:val="left" w:pos="720"/>
        </w:tabs>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Pr>
          <w:rFonts w:ascii="Times New Roman" w:hAnsi="Times New Roman" w:cs="Times New Roman"/>
          <w:sz w:val="24"/>
          <w:szCs w:val="24"/>
          <w:lang w:val="vi-VN"/>
        </w:rPr>
        <w:t xml:space="preserve">1. Phạm Công Thành, </w:t>
      </w:r>
      <w:r>
        <w:rPr>
          <w:rFonts w:ascii="Times New Roman" w:hAnsi="Times New Roman" w:cs="Times New Roman"/>
          <w:i/>
          <w:sz w:val="24"/>
          <w:szCs w:val="24"/>
          <w:lang w:val="vi-VN"/>
        </w:rPr>
        <w:t>Luật xa gần,</w:t>
      </w:r>
      <w:r>
        <w:rPr>
          <w:rFonts w:ascii="Times New Roman" w:hAnsi="Times New Roman" w:cs="Times New Roman"/>
          <w:sz w:val="24"/>
          <w:szCs w:val="24"/>
          <w:lang w:val="vi-VN"/>
        </w:rPr>
        <w:t xml:space="preserve"> Nxb. Văn hóa, Hà Nội, 1982</w:t>
      </w:r>
    </w:p>
    <w:p w14:paraId="350FCF1C">
      <w:pPr>
        <w:tabs>
          <w:tab w:val="left" w:pos="720"/>
        </w:tabs>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Pr>
          <w:rFonts w:ascii="Times New Roman" w:hAnsi="Times New Roman" w:cs="Times New Roman"/>
          <w:sz w:val="24"/>
          <w:szCs w:val="24"/>
          <w:lang w:val="vi-VN"/>
        </w:rPr>
        <w:t xml:space="preserve">2. Phạm Xuân Cường, </w:t>
      </w:r>
      <w:r>
        <w:rPr>
          <w:rFonts w:ascii="Times New Roman" w:hAnsi="Times New Roman" w:cs="Times New Roman"/>
          <w:i/>
          <w:sz w:val="24"/>
          <w:szCs w:val="24"/>
          <w:lang w:val="vi-VN"/>
        </w:rPr>
        <w:t>Luật xa gần,</w:t>
      </w:r>
      <w:r>
        <w:rPr>
          <w:rFonts w:ascii="Times New Roman" w:hAnsi="Times New Roman" w:cs="Times New Roman"/>
          <w:sz w:val="24"/>
          <w:szCs w:val="24"/>
          <w:lang w:val="vi-VN"/>
        </w:rPr>
        <w:t xml:space="preserve"> Nxb. Đại học Sư phạm Hà Nội, 2003</w:t>
      </w:r>
    </w:p>
    <w:p w14:paraId="3A893186">
      <w:pPr>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lang w:val="vi-VN"/>
        </w:rPr>
        <w:tab/>
      </w:r>
      <w:r>
        <w:rPr>
          <w:rFonts w:ascii="Times New Roman" w:hAnsi="Times New Roman" w:cs="Times New Roman"/>
          <w:sz w:val="24"/>
          <w:szCs w:val="24"/>
          <w:lang w:val="vi-VN"/>
        </w:rPr>
        <w:t xml:space="preserve">3. Hội đồng quốc gia chỉ đạo biên soạn Từ điển Bách khoa Việt Nam, </w:t>
      </w:r>
      <w:r>
        <w:rPr>
          <w:rFonts w:ascii="Times New Roman" w:hAnsi="Times New Roman" w:cs="Times New Roman"/>
          <w:i/>
          <w:sz w:val="24"/>
          <w:szCs w:val="24"/>
          <w:lang w:val="vi-VN"/>
        </w:rPr>
        <w:t>Từ điển bách khoa Việt Nam</w:t>
      </w:r>
      <w:r>
        <w:rPr>
          <w:rFonts w:ascii="Times New Roman" w:hAnsi="Times New Roman" w:cs="Times New Roman"/>
          <w:sz w:val="24"/>
          <w:szCs w:val="24"/>
          <w:lang w:val="vi-VN"/>
        </w:rPr>
        <w:t xml:space="preserve">. Nxb. </w:t>
      </w:r>
      <w:r>
        <w:rPr>
          <w:rFonts w:ascii="Times New Roman" w:hAnsi="Times New Roman" w:cs="Times New Roman"/>
          <w:sz w:val="24"/>
          <w:szCs w:val="24"/>
        </w:rPr>
        <w:t>Hà Nội, 2005</w:t>
      </w:r>
    </w:p>
    <w:p w14:paraId="2D830065">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51FE1796"/>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2026-07-01T13:08:00Z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